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B524" w14:textId="688DC6BE" w:rsidR="00A366FD" w:rsidRDefault="00457255" w:rsidP="00A366FD">
      <w:pPr>
        <w:jc w:val="center"/>
        <w:rPr>
          <w:rFonts w:ascii="Twinkl Thin" w:hAnsi="Twinkl Thin"/>
          <w:b/>
          <w:bCs/>
          <w:sz w:val="28"/>
          <w:szCs w:val="28"/>
          <w:u w:val="single"/>
        </w:rPr>
      </w:pPr>
      <w:r w:rsidRPr="00457255">
        <w:rPr>
          <w:rFonts w:ascii="Twinkl Thin" w:hAnsi="Twinkl Thin"/>
          <w:b/>
          <w:bCs/>
          <w:noProof/>
          <w:sz w:val="28"/>
          <w:szCs w:val="28"/>
        </w:rPr>
        <w:drawing>
          <wp:inline distT="0" distB="0" distL="0" distR="0" wp14:anchorId="220E53F9" wp14:editId="26EF1D84">
            <wp:extent cx="1470660" cy="14097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70660" cy="1409700"/>
                    </a:xfrm>
                    <a:prstGeom prst="rect">
                      <a:avLst/>
                    </a:prstGeom>
                  </pic:spPr>
                </pic:pic>
              </a:graphicData>
            </a:graphic>
          </wp:inline>
        </w:drawing>
      </w:r>
    </w:p>
    <w:p w14:paraId="7ED89286" w14:textId="776676E8" w:rsidR="00A366FD" w:rsidRPr="00A366FD" w:rsidRDefault="00A366FD" w:rsidP="00A366FD">
      <w:pPr>
        <w:jc w:val="center"/>
        <w:rPr>
          <w:rFonts w:ascii="Twinkl Thin" w:hAnsi="Twinkl Thin"/>
          <w:b/>
          <w:bCs/>
          <w:sz w:val="28"/>
          <w:szCs w:val="28"/>
          <w:u w:val="single"/>
        </w:rPr>
      </w:pPr>
      <w:r>
        <w:rPr>
          <w:rFonts w:ascii="Twinkl Thin" w:hAnsi="Twinkl Thin"/>
          <w:b/>
          <w:bCs/>
          <w:sz w:val="28"/>
          <w:szCs w:val="28"/>
          <w:u w:val="single"/>
        </w:rPr>
        <w:t xml:space="preserve">Phonics </w:t>
      </w:r>
      <w:r w:rsidRPr="00A366FD">
        <w:rPr>
          <w:rFonts w:ascii="Twinkl Thin" w:hAnsi="Twinkl Thin"/>
          <w:b/>
          <w:bCs/>
          <w:sz w:val="28"/>
          <w:szCs w:val="28"/>
          <w:u w:val="single"/>
        </w:rPr>
        <w:t>Subject Statement</w:t>
      </w:r>
    </w:p>
    <w:p w14:paraId="557A1D4F" w14:textId="77777777" w:rsidR="00A366FD" w:rsidRPr="001D0A5B" w:rsidRDefault="00A366FD" w:rsidP="00A366FD">
      <w:pPr>
        <w:rPr>
          <w:rFonts w:ascii="Twinkl Thin" w:hAnsi="Twinkl Thin"/>
          <w:b/>
          <w:bCs/>
          <w:sz w:val="28"/>
          <w:szCs w:val="28"/>
        </w:rPr>
      </w:pPr>
      <w:r w:rsidRPr="001D0A5B">
        <w:rPr>
          <w:rFonts w:ascii="Twinkl Thin" w:hAnsi="Twinkl Thin"/>
          <w:b/>
          <w:bCs/>
          <w:sz w:val="28"/>
          <w:szCs w:val="28"/>
        </w:rPr>
        <w:t>Intent</w:t>
      </w:r>
    </w:p>
    <w:p w14:paraId="48C338A4" w14:textId="47B47D56" w:rsidR="00A366FD" w:rsidRPr="00E14BCC" w:rsidRDefault="00A366FD" w:rsidP="00A366FD">
      <w:pPr>
        <w:rPr>
          <w:rFonts w:ascii="Twinkl Thin" w:hAnsi="Twinkl Thin"/>
          <w:sz w:val="28"/>
          <w:szCs w:val="28"/>
        </w:rPr>
      </w:pPr>
      <w:r>
        <w:rPr>
          <w:rFonts w:ascii="Twinkl Thin" w:hAnsi="Twinkl Thin"/>
          <w:sz w:val="28"/>
          <w:szCs w:val="28"/>
        </w:rPr>
        <w:t>A</w:t>
      </w:r>
      <w:r w:rsidRPr="00E14BCC">
        <w:rPr>
          <w:rFonts w:ascii="Twinkl Thin" w:hAnsi="Twinkl Thin"/>
          <w:sz w:val="28"/>
          <w:szCs w:val="28"/>
        </w:rPr>
        <w:t xml:space="preserve">t Sabden Primary School, we strive to teach children to read effectively and quickly using the </w:t>
      </w:r>
      <w:r w:rsidR="007D50A8">
        <w:rPr>
          <w:rFonts w:ascii="Twinkl Thin" w:hAnsi="Twinkl Thin"/>
          <w:sz w:val="28"/>
          <w:szCs w:val="28"/>
        </w:rPr>
        <w:t xml:space="preserve">Red Rose </w:t>
      </w:r>
      <w:r w:rsidRPr="00E14BCC">
        <w:rPr>
          <w:rFonts w:ascii="Twinkl Thin" w:hAnsi="Twinkl Thin"/>
          <w:sz w:val="28"/>
          <w:szCs w:val="28"/>
        </w:rPr>
        <w:t>Letters and Sounds scheme which includes teaching synthetic phonics, sight vocabulary, decoding and encoding words as well as spelling and accurate letter formation.</w:t>
      </w:r>
    </w:p>
    <w:p w14:paraId="0460B65C" w14:textId="67797831" w:rsidR="00A366FD" w:rsidRPr="00E14BCC" w:rsidRDefault="00A366FD" w:rsidP="00A366FD">
      <w:pPr>
        <w:rPr>
          <w:rFonts w:ascii="Twinkl Thin" w:hAnsi="Twinkl Thin"/>
          <w:sz w:val="28"/>
          <w:szCs w:val="28"/>
        </w:rPr>
      </w:pPr>
      <w:r w:rsidRPr="00E14BCC">
        <w:rPr>
          <w:rFonts w:ascii="Twinkl Thin" w:hAnsi="Twinkl Thin"/>
          <w:sz w:val="28"/>
          <w:szCs w:val="28"/>
        </w:rPr>
        <w:t xml:space="preserve">Using </w:t>
      </w:r>
      <w:r w:rsidR="00F53AAC">
        <w:rPr>
          <w:rFonts w:ascii="Twinkl Thin" w:hAnsi="Twinkl Thin"/>
          <w:sz w:val="28"/>
          <w:szCs w:val="28"/>
        </w:rPr>
        <w:t>Red Rose Letters and Sounds</w:t>
      </w:r>
      <w:r w:rsidRPr="00E14BCC">
        <w:rPr>
          <w:rFonts w:ascii="Twinkl Thin" w:hAnsi="Twinkl Thin"/>
          <w:sz w:val="28"/>
          <w:szCs w:val="28"/>
        </w:rPr>
        <w:t xml:space="preserve"> we teach children to decode and then read. We aim to teach children</w:t>
      </w:r>
      <w:r>
        <w:rPr>
          <w:rFonts w:ascii="Twinkl Thin" w:hAnsi="Twinkl Thin"/>
          <w:sz w:val="28"/>
          <w:szCs w:val="28"/>
        </w:rPr>
        <w:t xml:space="preserve"> </w:t>
      </w:r>
      <w:r w:rsidRPr="00E14BCC">
        <w:rPr>
          <w:rFonts w:ascii="Twinkl Thin" w:hAnsi="Twinkl Thin"/>
          <w:sz w:val="28"/>
          <w:szCs w:val="28"/>
        </w:rPr>
        <w:t>from Early Years up to Year 2 to:</w:t>
      </w:r>
    </w:p>
    <w:p w14:paraId="0D40A58A"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apply their phonic knowledge and skills as the route to decode words</w:t>
      </w:r>
    </w:p>
    <w:p w14:paraId="041B68DE"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respond speedily with the correct sound to graphemes (letters or groups of letters) for</w:t>
      </w:r>
      <w:r>
        <w:rPr>
          <w:rFonts w:ascii="Twinkl Thin" w:hAnsi="Twinkl Thin"/>
          <w:sz w:val="28"/>
          <w:szCs w:val="28"/>
        </w:rPr>
        <w:t xml:space="preserve"> </w:t>
      </w:r>
      <w:r w:rsidRPr="00E14BCC">
        <w:rPr>
          <w:rFonts w:ascii="Twinkl Thin" w:hAnsi="Twinkl Thin"/>
          <w:sz w:val="28"/>
          <w:szCs w:val="28"/>
        </w:rPr>
        <w:t>all common 40+ phonemes</w:t>
      </w:r>
    </w:p>
    <w:p w14:paraId="2A92B5F0"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accurately by blending sounds in unfamiliar words that contain the Grapheme</w:t>
      </w:r>
      <w:r>
        <w:rPr>
          <w:rFonts w:ascii="Twinkl Thin" w:hAnsi="Twinkl Thin"/>
          <w:sz w:val="28"/>
          <w:szCs w:val="28"/>
        </w:rPr>
        <w:t xml:space="preserve"> </w:t>
      </w:r>
      <w:r w:rsidRPr="00E14BCC">
        <w:rPr>
          <w:rFonts w:ascii="Twinkl Thin" w:hAnsi="Twinkl Thin"/>
          <w:sz w:val="28"/>
          <w:szCs w:val="28"/>
        </w:rPr>
        <w:t>Phoneme Correspondences (GPCs) that they have been taught</w:t>
      </w:r>
    </w:p>
    <w:p w14:paraId="595A6EE2"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common exception words, noting unusual correspondences between spelling</w:t>
      </w:r>
      <w:r>
        <w:rPr>
          <w:rFonts w:ascii="Twinkl Thin" w:hAnsi="Twinkl Thin"/>
          <w:sz w:val="28"/>
          <w:szCs w:val="28"/>
        </w:rPr>
        <w:t xml:space="preserve"> </w:t>
      </w:r>
      <w:r w:rsidRPr="00E14BCC">
        <w:rPr>
          <w:rFonts w:ascii="Twinkl Thin" w:hAnsi="Twinkl Thin"/>
          <w:sz w:val="28"/>
          <w:szCs w:val="28"/>
        </w:rPr>
        <w:t>and sound</w:t>
      </w:r>
    </w:p>
    <w:p w14:paraId="7D5CC4DD"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words containing taught GPCs and </w:t>
      </w:r>
      <w:r w:rsidRPr="00E14BCC">
        <w:rPr>
          <w:rFonts w:ascii="Twinkl Thin" w:hAnsi="Twinkl Thin" w:cs="Twinkl Thin"/>
          <w:sz w:val="28"/>
          <w:szCs w:val="28"/>
        </w:rPr>
        <w:t>–</w:t>
      </w:r>
      <w:r w:rsidRPr="00E14BCC">
        <w:rPr>
          <w:rFonts w:ascii="Twinkl Thin" w:hAnsi="Twinkl Thin"/>
          <w:sz w:val="28"/>
          <w:szCs w:val="28"/>
        </w:rPr>
        <w:t xml:space="preserve">s, </w:t>
      </w:r>
      <w:r w:rsidRPr="00E14BCC">
        <w:rPr>
          <w:rFonts w:ascii="Twinkl Thin" w:hAnsi="Twinkl Thin" w:cs="Twinkl Thin"/>
          <w:sz w:val="28"/>
          <w:szCs w:val="28"/>
        </w:rPr>
        <w:t>–</w:t>
      </w:r>
      <w:r w:rsidRPr="00E14BCC">
        <w:rPr>
          <w:rFonts w:ascii="Twinkl Thin" w:hAnsi="Twinkl Thin"/>
          <w:sz w:val="28"/>
          <w:szCs w:val="28"/>
        </w:rPr>
        <w:t xml:space="preserve">es, </w:t>
      </w:r>
      <w:r w:rsidRPr="00E14BCC">
        <w:rPr>
          <w:rFonts w:ascii="Twinkl Thin" w:hAnsi="Twinkl Thin" w:cs="Twinkl Thin"/>
          <w:sz w:val="28"/>
          <w:szCs w:val="28"/>
        </w:rPr>
        <w:t>–</w:t>
      </w:r>
      <w:proofErr w:type="spellStart"/>
      <w:r w:rsidRPr="00E14BCC">
        <w:rPr>
          <w:rFonts w:ascii="Twinkl Thin" w:hAnsi="Twinkl Thin"/>
          <w:sz w:val="28"/>
          <w:szCs w:val="28"/>
        </w:rPr>
        <w:t>ing</w:t>
      </w:r>
      <w:proofErr w:type="spellEnd"/>
      <w:r w:rsidRPr="00E14BCC">
        <w:rPr>
          <w:rFonts w:ascii="Twinkl Thin" w:hAnsi="Twinkl Thin"/>
          <w:sz w:val="28"/>
          <w:szCs w:val="28"/>
        </w:rPr>
        <w:t xml:space="preserve">, </w:t>
      </w:r>
      <w:r w:rsidRPr="00E14BCC">
        <w:rPr>
          <w:rFonts w:ascii="Twinkl Thin" w:hAnsi="Twinkl Thin" w:cs="Twinkl Thin"/>
          <w:sz w:val="28"/>
          <w:szCs w:val="28"/>
        </w:rPr>
        <w:t>–</w:t>
      </w:r>
      <w:r w:rsidRPr="00E14BCC">
        <w:rPr>
          <w:rFonts w:ascii="Twinkl Thin" w:hAnsi="Twinkl Thin"/>
          <w:sz w:val="28"/>
          <w:szCs w:val="28"/>
        </w:rPr>
        <w:t xml:space="preserve">ed, </w:t>
      </w:r>
      <w:r w:rsidRPr="00E14BCC">
        <w:rPr>
          <w:rFonts w:ascii="Twinkl Thin" w:hAnsi="Twinkl Thin" w:cs="Twinkl Thin"/>
          <w:sz w:val="28"/>
          <w:szCs w:val="28"/>
        </w:rPr>
        <w:t>–</w:t>
      </w:r>
      <w:r w:rsidRPr="00E14BCC">
        <w:rPr>
          <w:rFonts w:ascii="Twinkl Thin" w:hAnsi="Twinkl Thin"/>
          <w:sz w:val="28"/>
          <w:szCs w:val="28"/>
        </w:rPr>
        <w:t xml:space="preserve">er and </w:t>
      </w:r>
      <w:r w:rsidRPr="00E14BCC">
        <w:rPr>
          <w:rFonts w:ascii="Twinkl Thin" w:hAnsi="Twinkl Thin" w:cs="Twinkl Thin"/>
          <w:sz w:val="28"/>
          <w:szCs w:val="28"/>
        </w:rPr>
        <w:t>–</w:t>
      </w:r>
      <w:proofErr w:type="spellStart"/>
      <w:r w:rsidRPr="00E14BCC">
        <w:rPr>
          <w:rFonts w:ascii="Twinkl Thin" w:hAnsi="Twinkl Thin"/>
          <w:sz w:val="28"/>
          <w:szCs w:val="28"/>
        </w:rPr>
        <w:t>est</w:t>
      </w:r>
      <w:proofErr w:type="spellEnd"/>
      <w:r w:rsidRPr="00E14BCC">
        <w:rPr>
          <w:rFonts w:ascii="Twinkl Thin" w:hAnsi="Twinkl Thin"/>
          <w:sz w:val="28"/>
          <w:szCs w:val="28"/>
        </w:rPr>
        <w:t xml:space="preserve"> endings</w:t>
      </w:r>
    </w:p>
    <w:p w14:paraId="6AF960A6"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words of more than one syllable that contain taught GPCs</w:t>
      </w:r>
    </w:p>
    <w:p w14:paraId="7BFD9EA3"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words with contractions and understand that the apostrophe represents the</w:t>
      </w:r>
      <w:r>
        <w:rPr>
          <w:rFonts w:ascii="Twinkl Thin" w:hAnsi="Twinkl Thin"/>
          <w:sz w:val="28"/>
          <w:szCs w:val="28"/>
        </w:rPr>
        <w:t xml:space="preserve"> </w:t>
      </w:r>
      <w:r w:rsidRPr="00E14BCC">
        <w:rPr>
          <w:rFonts w:ascii="Twinkl Thin" w:hAnsi="Twinkl Thin"/>
          <w:sz w:val="28"/>
          <w:szCs w:val="28"/>
        </w:rPr>
        <w:t>omitted letter(s)</w:t>
      </w:r>
    </w:p>
    <w:p w14:paraId="4BBBC76E"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accurately read aloud books, that are consistent with their developing phonic</w:t>
      </w:r>
      <w:r>
        <w:rPr>
          <w:rFonts w:ascii="Twinkl Thin" w:hAnsi="Twinkl Thin"/>
          <w:sz w:val="28"/>
          <w:szCs w:val="28"/>
        </w:rPr>
        <w:t xml:space="preserve"> </w:t>
      </w:r>
      <w:r w:rsidRPr="00E14BCC">
        <w:rPr>
          <w:rFonts w:ascii="Twinkl Thin" w:hAnsi="Twinkl Thin"/>
          <w:sz w:val="28"/>
          <w:szCs w:val="28"/>
        </w:rPr>
        <w:t>knowledge and that do not require them to use other strategies to work out words</w:t>
      </w:r>
    </w:p>
    <w:p w14:paraId="7DDE964E"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re-read books to build up their fluency, accuracy and expression and hence develop</w:t>
      </w:r>
      <w:r>
        <w:rPr>
          <w:rFonts w:ascii="Twinkl Thin" w:hAnsi="Twinkl Thin"/>
          <w:sz w:val="28"/>
          <w:szCs w:val="28"/>
        </w:rPr>
        <w:t xml:space="preserve"> </w:t>
      </w:r>
      <w:r w:rsidRPr="00E14BCC">
        <w:rPr>
          <w:rFonts w:ascii="Twinkl Thin" w:hAnsi="Twinkl Thin"/>
          <w:sz w:val="28"/>
          <w:szCs w:val="28"/>
        </w:rPr>
        <w:t>confidence and enjoyment of reading</w:t>
      </w:r>
    </w:p>
    <w:p w14:paraId="5F393C40"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most high-frequency regular words quickly and accurately, without overt</w:t>
      </w:r>
      <w:r>
        <w:rPr>
          <w:rFonts w:ascii="Twinkl Thin" w:hAnsi="Twinkl Thin"/>
          <w:sz w:val="28"/>
          <w:szCs w:val="28"/>
        </w:rPr>
        <w:t xml:space="preserve"> </w:t>
      </w:r>
      <w:r w:rsidRPr="00E14BCC">
        <w:rPr>
          <w:rFonts w:ascii="Twinkl Thin" w:hAnsi="Twinkl Thin"/>
          <w:sz w:val="28"/>
          <w:szCs w:val="28"/>
        </w:rPr>
        <w:t>sounding and blending; only needing to sound out unfamiliar words</w:t>
      </w:r>
    </w:p>
    <w:p w14:paraId="31C93E4A"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spell words containing each of the 40+ phonemes by segmenting the sounds in</w:t>
      </w:r>
      <w:r>
        <w:rPr>
          <w:rFonts w:ascii="Twinkl Thin" w:hAnsi="Twinkl Thin"/>
          <w:sz w:val="28"/>
          <w:szCs w:val="28"/>
        </w:rPr>
        <w:t xml:space="preserve"> </w:t>
      </w:r>
      <w:r w:rsidRPr="00E14BCC">
        <w:rPr>
          <w:rFonts w:ascii="Twinkl Thin" w:hAnsi="Twinkl Thin"/>
          <w:sz w:val="28"/>
          <w:szCs w:val="28"/>
        </w:rPr>
        <w:t>words</w:t>
      </w:r>
    </w:p>
    <w:p w14:paraId="10676AF6"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spell common exception words correctly</w:t>
      </w:r>
    </w:p>
    <w:p w14:paraId="6A7F1D2E"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lastRenderedPageBreak/>
        <w:t>●</w:t>
      </w:r>
      <w:r w:rsidRPr="00E14BCC">
        <w:rPr>
          <w:rFonts w:ascii="Twinkl Thin" w:hAnsi="Twinkl Thin"/>
          <w:sz w:val="28"/>
          <w:szCs w:val="28"/>
        </w:rPr>
        <w:t xml:space="preserve"> add prefixes and suffixes to previously taught words</w:t>
      </w:r>
    </w:p>
    <w:p w14:paraId="298F684C"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spell effortlessly, and with confidence, so that all their focus when writing can be</w:t>
      </w:r>
      <w:r>
        <w:rPr>
          <w:rFonts w:ascii="Twinkl Thin" w:hAnsi="Twinkl Thin"/>
          <w:sz w:val="28"/>
          <w:szCs w:val="28"/>
        </w:rPr>
        <w:t xml:space="preserve"> </w:t>
      </w:r>
      <w:r w:rsidRPr="00E14BCC">
        <w:rPr>
          <w:rFonts w:ascii="Twinkl Thin" w:hAnsi="Twinkl Thin"/>
          <w:sz w:val="28"/>
          <w:szCs w:val="28"/>
        </w:rPr>
        <w:t>directed towards composition</w:t>
      </w:r>
    </w:p>
    <w:p w14:paraId="7DA0E560"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make phonetically plausible attempts to spell words correctly</w:t>
      </w:r>
    </w:p>
    <w:p w14:paraId="208C95CE"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select the correct GPC for words that contain sounds that have more than one GPC</w:t>
      </w:r>
      <w:r>
        <w:rPr>
          <w:rFonts w:ascii="Twinkl Thin" w:hAnsi="Twinkl Thin"/>
          <w:sz w:val="28"/>
          <w:szCs w:val="28"/>
        </w:rPr>
        <w:t xml:space="preserve"> </w:t>
      </w:r>
      <w:r w:rsidRPr="00E14BCC">
        <w:rPr>
          <w:rFonts w:ascii="Twinkl Thin" w:hAnsi="Twinkl Thin"/>
          <w:sz w:val="28"/>
          <w:szCs w:val="28"/>
        </w:rPr>
        <w:t>– e.g. ay, ai, a-e etc.</w:t>
      </w:r>
    </w:p>
    <w:p w14:paraId="4C5BB21D"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form each letter correctly, using </w:t>
      </w:r>
      <w:r>
        <w:rPr>
          <w:rFonts w:ascii="Twinkl Thin" w:hAnsi="Twinkl Thin"/>
          <w:sz w:val="28"/>
          <w:szCs w:val="28"/>
        </w:rPr>
        <w:t>pre-cursive</w:t>
      </w:r>
      <w:r w:rsidRPr="00E14BCC">
        <w:rPr>
          <w:rFonts w:ascii="Twinkl Thin" w:hAnsi="Twinkl Thin"/>
          <w:sz w:val="28"/>
          <w:szCs w:val="28"/>
        </w:rPr>
        <w:t xml:space="preserve"> letter formation rhymes to encourage correct</w:t>
      </w:r>
      <w:r>
        <w:rPr>
          <w:rFonts w:ascii="Twinkl Thin" w:hAnsi="Twinkl Thin"/>
          <w:sz w:val="28"/>
          <w:szCs w:val="28"/>
        </w:rPr>
        <w:t xml:space="preserve"> </w:t>
      </w:r>
      <w:r w:rsidRPr="00E14BCC">
        <w:rPr>
          <w:rFonts w:ascii="Twinkl Thin" w:hAnsi="Twinkl Thin"/>
          <w:sz w:val="28"/>
          <w:szCs w:val="28"/>
        </w:rPr>
        <w:t>entry and exit points, orientation and letter size.</w:t>
      </w:r>
    </w:p>
    <w:p w14:paraId="74CCD7CD" w14:textId="77777777" w:rsidR="00A366FD" w:rsidRPr="00E14BCC" w:rsidRDefault="00A366FD" w:rsidP="00A366FD">
      <w:pPr>
        <w:rPr>
          <w:rFonts w:ascii="Twinkl Thin" w:hAnsi="Twinkl Thin"/>
          <w:sz w:val="28"/>
          <w:szCs w:val="28"/>
        </w:rPr>
      </w:pPr>
    </w:p>
    <w:p w14:paraId="717FC86F" w14:textId="77777777" w:rsidR="00A366FD" w:rsidRPr="00E14BCC" w:rsidRDefault="00A366FD" w:rsidP="00A366FD">
      <w:pPr>
        <w:rPr>
          <w:rFonts w:ascii="Twinkl Thin" w:hAnsi="Twinkl Thin"/>
          <w:sz w:val="28"/>
          <w:szCs w:val="28"/>
        </w:rPr>
      </w:pPr>
      <w:r w:rsidRPr="00E14BCC">
        <w:rPr>
          <w:rFonts w:ascii="Twinkl Thin" w:hAnsi="Twinkl Thin"/>
          <w:sz w:val="28"/>
          <w:szCs w:val="28"/>
        </w:rPr>
        <w:t xml:space="preserve">At Sabden Primary School, these skills are embedded within daily phonics lessons. By focussing on the teaching of reading in the Early Years and KS1, </w:t>
      </w:r>
      <w:r>
        <w:rPr>
          <w:rFonts w:ascii="Twinkl Thin" w:hAnsi="Twinkl Thin"/>
          <w:sz w:val="28"/>
          <w:szCs w:val="28"/>
        </w:rPr>
        <w:t>following the letters and sounds phonics plan</w:t>
      </w:r>
      <w:r w:rsidRPr="00E14BCC">
        <w:rPr>
          <w:rFonts w:ascii="Twinkl Thin" w:hAnsi="Twinkl Thin"/>
          <w:sz w:val="28"/>
          <w:szCs w:val="28"/>
        </w:rPr>
        <w:t>, children learn to read unfamiliar printed words by blending (decoding) and speedily recognise familiar printed words by sight. We want all children to enjoy and experience early success in learning to read. We are committed to developing children’s love of reading and to help them to acquire knowledge and to build on what they already know.</w:t>
      </w:r>
    </w:p>
    <w:p w14:paraId="4E3938FE" w14:textId="77777777" w:rsidR="00A366FD" w:rsidRPr="00024DBA" w:rsidRDefault="00A366FD" w:rsidP="00A366FD">
      <w:pPr>
        <w:rPr>
          <w:rFonts w:ascii="Twinkl Thin" w:hAnsi="Twinkl Thin"/>
          <w:b/>
          <w:bCs/>
          <w:sz w:val="28"/>
          <w:szCs w:val="28"/>
        </w:rPr>
      </w:pPr>
      <w:r w:rsidRPr="00024DBA">
        <w:rPr>
          <w:rFonts w:ascii="Twinkl Thin" w:hAnsi="Twinkl Thin"/>
          <w:b/>
          <w:bCs/>
          <w:sz w:val="28"/>
          <w:szCs w:val="28"/>
        </w:rPr>
        <w:t>Implementation</w:t>
      </w:r>
    </w:p>
    <w:p w14:paraId="044C4D0E" w14:textId="77777777" w:rsidR="00A366FD" w:rsidRPr="00E14BCC" w:rsidRDefault="00A366FD" w:rsidP="00A366FD">
      <w:pPr>
        <w:rPr>
          <w:rFonts w:ascii="Twinkl Thin" w:hAnsi="Twinkl Thin"/>
          <w:sz w:val="28"/>
          <w:szCs w:val="28"/>
        </w:rPr>
      </w:pPr>
      <w:r w:rsidRPr="00E14BCC">
        <w:rPr>
          <w:rFonts w:ascii="Twinkl Thin" w:hAnsi="Twinkl Thin"/>
          <w:sz w:val="28"/>
          <w:szCs w:val="28"/>
        </w:rPr>
        <w:t>These principles and features characterise our approach to the teaching of reading using phonics:</w:t>
      </w:r>
    </w:p>
    <w:p w14:paraId="7E34D152"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Teachers teach phonics using a detailed, proven step-by-step teaching plan; where children are first taught simple GPCs, to accurately blend taught sounds, to decode simple words containing taught graphemes and then to read books that are closely matched to their increasing knowledge of phonics and the common exception words.</w:t>
      </w:r>
    </w:p>
    <w:p w14:paraId="4B4F42AE"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Pupils are taught within small groups, across year groups, which reflect their performance in phonics assessments. We make sure that pupils read books that are closely matched to their increasing knowledge of phonics and ability to read ‘tricky words’; so they experience early reading success and gain confidence that they are readers.</w:t>
      </w:r>
    </w:p>
    <w:p w14:paraId="3ABDEBD9"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Phonics teachers have all the resources needed to teach their phonics sessions and they follow detailed lesson plans. This ensures the consistency of the teaching of phonics and early reading, in every lesson, irrespective of the teacher.</w:t>
      </w:r>
    </w:p>
    <w:p w14:paraId="230DA71F"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Teachers attend regular in-house CPD sessions, where they have the opportunity to learn about pedagogical changes, new resources and to observe and practice specific parts of the teaching process.</w:t>
      </w:r>
    </w:p>
    <w:p w14:paraId="5DD10815" w14:textId="77777777" w:rsidR="00A366FD" w:rsidRPr="00E14BCC" w:rsidRDefault="00A366FD" w:rsidP="00A366FD">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Regular assessment ensures that pupils are taught in suitable groups which match their phonic knowledge and reading level. Pupils making speedy progress move </w:t>
      </w:r>
      <w:r w:rsidRPr="00E14BCC">
        <w:rPr>
          <w:rFonts w:ascii="Twinkl Thin" w:hAnsi="Twinkl Thin"/>
          <w:sz w:val="28"/>
          <w:szCs w:val="28"/>
        </w:rPr>
        <w:lastRenderedPageBreak/>
        <w:t>groups quickly. Those pupils making steady progress continue at an appropriate pace matched to their reading level. Those pupils making slower progress are usually taught in smaller groups and generally receive additional small group or one-to-one intervention.</w:t>
      </w:r>
    </w:p>
    <w:p w14:paraId="263F220E" w14:textId="77777777" w:rsidR="00A366FD" w:rsidRPr="00E14BCC" w:rsidRDefault="00A366FD" w:rsidP="00A366FD">
      <w:pPr>
        <w:rPr>
          <w:rFonts w:ascii="Twinkl Thin" w:hAnsi="Twinkl Thin"/>
          <w:sz w:val="28"/>
          <w:szCs w:val="28"/>
        </w:rPr>
      </w:pPr>
    </w:p>
    <w:p w14:paraId="5F0A3266" w14:textId="77777777" w:rsidR="00A366FD" w:rsidRPr="00024DBA" w:rsidRDefault="00A366FD" w:rsidP="00A366FD">
      <w:pPr>
        <w:rPr>
          <w:rFonts w:ascii="Twinkl Thin" w:hAnsi="Twinkl Thin"/>
          <w:b/>
          <w:bCs/>
          <w:sz w:val="28"/>
          <w:szCs w:val="28"/>
        </w:rPr>
      </w:pPr>
      <w:r w:rsidRPr="00024DBA">
        <w:rPr>
          <w:rFonts w:ascii="Twinkl Thin" w:hAnsi="Twinkl Thin"/>
          <w:b/>
          <w:bCs/>
          <w:sz w:val="28"/>
          <w:szCs w:val="28"/>
        </w:rPr>
        <w:t>Impact</w:t>
      </w:r>
    </w:p>
    <w:p w14:paraId="253C5F8E" w14:textId="5AC33FE1" w:rsidR="00A366FD" w:rsidRPr="00E14BCC" w:rsidRDefault="00A366FD" w:rsidP="00A366FD">
      <w:pPr>
        <w:rPr>
          <w:rFonts w:ascii="Twinkl Thin" w:hAnsi="Twinkl Thin"/>
          <w:sz w:val="28"/>
          <w:szCs w:val="28"/>
        </w:rPr>
      </w:pPr>
      <w:r w:rsidRPr="00E14BCC">
        <w:rPr>
          <w:rFonts w:ascii="Twinkl Thin" w:hAnsi="Twinkl Thin"/>
          <w:sz w:val="28"/>
          <w:szCs w:val="28"/>
        </w:rPr>
        <w:t xml:space="preserve">We assess all pupils from </w:t>
      </w:r>
      <w:r w:rsidR="00F53AAC">
        <w:rPr>
          <w:rFonts w:ascii="Twinkl Thin" w:hAnsi="Twinkl Thin"/>
          <w:sz w:val="28"/>
          <w:szCs w:val="28"/>
        </w:rPr>
        <w:t>Reception</w:t>
      </w:r>
      <w:r w:rsidRPr="00E14BCC">
        <w:rPr>
          <w:rFonts w:ascii="Twinkl Thin" w:hAnsi="Twinkl Thin"/>
          <w:sz w:val="28"/>
          <w:szCs w:val="28"/>
        </w:rPr>
        <w:t xml:space="preserve"> to Year </w:t>
      </w:r>
      <w:r>
        <w:rPr>
          <w:rFonts w:ascii="Twinkl Thin" w:hAnsi="Twinkl Thin"/>
          <w:sz w:val="28"/>
          <w:szCs w:val="28"/>
        </w:rPr>
        <w:t>2</w:t>
      </w:r>
      <w:r w:rsidRPr="00E14BCC">
        <w:rPr>
          <w:rFonts w:ascii="Twinkl Thin" w:hAnsi="Twinkl Thin"/>
          <w:sz w:val="28"/>
          <w:szCs w:val="28"/>
        </w:rPr>
        <w:t xml:space="preserve"> using the same assessment materials each half term. We use this data to assign them to their correct phonics Group and to identify if they need to have any additional support. This provides a good indication of their progress relative to their starting points. We track the phonic progress that pupils make from Reception to Year 2 and, at the end of Year 1; we evaluate pupils’ acquisition of GPCs and decoding skills using the Phonics Screening Check (PSC). </w:t>
      </w:r>
    </w:p>
    <w:p w14:paraId="182A7EAA" w14:textId="77777777" w:rsidR="00A366FD" w:rsidRPr="00E14BCC" w:rsidRDefault="00A366FD" w:rsidP="00A366FD">
      <w:pPr>
        <w:rPr>
          <w:rFonts w:ascii="Twinkl Thin" w:hAnsi="Twinkl Thin"/>
          <w:sz w:val="28"/>
          <w:szCs w:val="28"/>
        </w:rPr>
      </w:pPr>
      <w:r w:rsidRPr="00E14BCC">
        <w:rPr>
          <w:rFonts w:ascii="Twinkl Thin" w:hAnsi="Twinkl Thin"/>
          <w:sz w:val="28"/>
          <w:szCs w:val="28"/>
        </w:rPr>
        <w:t>This ensures that we are able to maintain high standards in the teaching of the early stages reading in EYFS (using the Reading statements in the EYFS Profile), in Year 1 (using the PSC materials) and in Year 2 (using the statutory KS1 Reading assessment materials). Pupils in KS2 that are still acquiring word reading skills, continue to be part of the phonics teaching program, however this would be delivered in such a way that is suited to their age group.</w:t>
      </w:r>
    </w:p>
    <w:p w14:paraId="3149FC73" w14:textId="77777777" w:rsidR="00A366FD" w:rsidRDefault="00A366FD" w:rsidP="00A366FD">
      <w:pPr>
        <w:rPr>
          <w:rFonts w:ascii="Twinkl Thin" w:hAnsi="Twinkl Thin"/>
          <w:sz w:val="28"/>
          <w:szCs w:val="28"/>
        </w:rPr>
      </w:pPr>
      <w:r w:rsidRPr="00E14BCC">
        <w:rPr>
          <w:rFonts w:ascii="Twinkl Thin" w:hAnsi="Twinkl Thin"/>
          <w:sz w:val="28"/>
          <w:szCs w:val="28"/>
        </w:rPr>
        <w:t>The impact of high-qualify synthetic phonics teaching, coupled with vigorous assessment procedures ensures that attainment of Sabden Primary School pupils is above that of the Lancashire and National Standards.</w:t>
      </w:r>
    </w:p>
    <w:p w14:paraId="28840F3D" w14:textId="77777777" w:rsidR="003100D2" w:rsidRDefault="003100D2"/>
    <w:sectPr w:rsidR="003100D2" w:rsidSect="00EE7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winkl Thin">
    <w:altName w:val="﷽﷽﷽﷽﷽﷽﷽﷽hin"/>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FD"/>
    <w:rsid w:val="003100D2"/>
    <w:rsid w:val="00457255"/>
    <w:rsid w:val="007D50A8"/>
    <w:rsid w:val="00A366FD"/>
    <w:rsid w:val="00EE73CF"/>
    <w:rsid w:val="00F5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D12B"/>
  <w15:chartTrackingRefBased/>
  <w15:docId w15:val="{676D283C-BB77-415B-8D4E-614C6BC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Darcy</dc:creator>
  <cp:keywords/>
  <dc:description/>
  <cp:lastModifiedBy>CATHERINE LOUISE JACKSON</cp:lastModifiedBy>
  <cp:revision>2</cp:revision>
  <cp:lastPrinted>2021-10-04T20:26:00Z</cp:lastPrinted>
  <dcterms:created xsi:type="dcterms:W3CDTF">2023-06-07T15:07:00Z</dcterms:created>
  <dcterms:modified xsi:type="dcterms:W3CDTF">2023-06-07T15:07:00Z</dcterms:modified>
</cp:coreProperties>
</file>